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60" w:rsidRDefault="00435460" w:rsidP="00435460">
      <w:pPr>
        <w:rPr>
          <w:rFonts w:ascii="Arial" w:hAnsi="Arial" w:cs="Arial"/>
        </w:rPr>
      </w:pPr>
      <w:r>
        <w:rPr>
          <w:rFonts w:ascii="Arial" w:hAnsi="Arial" w:cs="Arial"/>
        </w:rPr>
        <w:t>Texto 115-5’-03 29nov11</w:t>
      </w:r>
    </w:p>
    <w:p w:rsidR="00435460" w:rsidRPr="004E5CF8" w:rsidRDefault="00435460" w:rsidP="00435460">
      <w:pPr>
        <w:rPr>
          <w:rFonts w:ascii="Arial" w:hAnsi="Arial" w:cs="Arial"/>
        </w:rPr>
      </w:pPr>
      <w:r w:rsidRPr="004E5CF8">
        <w:rPr>
          <w:rFonts w:ascii="Arial" w:hAnsi="Arial" w:cs="Arial"/>
        </w:rPr>
        <w:t>O Copom apostou num cenário em que a situação internacional se agravaria a ponto de derrubar a inflação no Brasil. Olhando a crise lá fora e os números internos, chega-se à conclusão de que o BC acertou apenas em uma parte. De fato, o quadro internacional piorou, até além da imaginação, mas a inflação permanece pressionada.</w:t>
      </w:r>
    </w:p>
    <w:p w:rsidR="00435460" w:rsidRPr="004E5CF8" w:rsidRDefault="00435460" w:rsidP="00435460">
      <w:pPr>
        <w:rPr>
          <w:rFonts w:ascii="Arial" w:hAnsi="Arial" w:cs="Arial"/>
        </w:rPr>
      </w:pPr>
      <w:r w:rsidRPr="004E5CF8">
        <w:rPr>
          <w:rFonts w:ascii="Arial" w:hAnsi="Arial" w:cs="Arial"/>
        </w:rPr>
        <w:t>Já era prevista a queda neste final de ano do IPCA acumulado em 12 meses, mas olhando-se dentro dos números — que estão disponíveis no próprio site do Banco Central — encontram-se índices muito acima do razoável. A inflação do grupo vestuário foi de 9,57% nos últimos 12 meses até outubro; alimentos e bebidas subiram 8,5%; a educação ficou 8,1% mais cara e os serviços tiveram alta de 8,94%.</w:t>
      </w:r>
    </w:p>
    <w:p w:rsidR="00435460" w:rsidRPr="004E5CF8" w:rsidRDefault="00435460" w:rsidP="00435460">
      <w:pPr>
        <w:rPr>
          <w:rFonts w:ascii="Arial" w:hAnsi="Arial" w:cs="Arial"/>
        </w:rPr>
      </w:pPr>
      <w:r w:rsidRPr="004E5CF8">
        <w:rPr>
          <w:rFonts w:ascii="Arial" w:hAnsi="Arial" w:cs="Arial"/>
        </w:rPr>
        <w:t xml:space="preserve">O núcleo da inflação, que exclui da conta preços voláteis como combustíveis e alguns alimentos, está ainda acima do teto da meta: 6,61%, em 12 meses. O que mais impressiona é o que está acontecendo no mercado imobiliário. O preço do metro quadrado dos imóveis no país, medido pelo índice </w:t>
      </w:r>
      <w:proofErr w:type="gramStart"/>
      <w:r w:rsidRPr="004E5CF8">
        <w:rPr>
          <w:rFonts w:ascii="Arial" w:hAnsi="Arial" w:cs="Arial"/>
        </w:rPr>
        <w:t>Fipe</w:t>
      </w:r>
      <w:proofErr w:type="gramEnd"/>
      <w:r w:rsidRPr="004E5CF8">
        <w:rPr>
          <w:rFonts w:ascii="Arial" w:hAnsi="Arial" w:cs="Arial"/>
        </w:rPr>
        <w:t xml:space="preserve"> </w:t>
      </w:r>
      <w:proofErr w:type="spellStart"/>
      <w:r w:rsidRPr="004E5CF8">
        <w:rPr>
          <w:rFonts w:ascii="Arial" w:hAnsi="Arial" w:cs="Arial"/>
        </w:rPr>
        <w:t>Zap</w:t>
      </w:r>
      <w:proofErr w:type="spellEnd"/>
      <w:r w:rsidRPr="004E5CF8">
        <w:rPr>
          <w:rFonts w:ascii="Arial" w:hAnsi="Arial" w:cs="Arial"/>
        </w:rPr>
        <w:t>, aumentou 28% de outubro de 2010 a outubro de 2011. No Rio de Janeiro, a alta foi de 39%. Os aluguéis no Rio ficaram 24% mais caros em um ano. Em São Paulo, a alta foi de 15,6%. Os custos da construção civil subiram 7,72%. A mão de obra para as construtoras ficou 11,3% mais cara.</w:t>
      </w:r>
    </w:p>
    <w:p w:rsidR="00435460" w:rsidRPr="004E5CF8" w:rsidRDefault="00435460" w:rsidP="00435460">
      <w:pPr>
        <w:rPr>
          <w:rFonts w:ascii="Arial" w:hAnsi="Arial" w:cs="Arial"/>
        </w:rPr>
      </w:pPr>
      <w:r w:rsidRPr="004E5CF8">
        <w:rPr>
          <w:rFonts w:ascii="Arial" w:hAnsi="Arial" w:cs="Arial"/>
        </w:rPr>
        <w:t>Essa montanha de números mostra que o movimento no mercado imobiliário — tanto em locação, quanto em compra e venda de imóveis — está perigosamente aquecido.</w:t>
      </w:r>
    </w:p>
    <w:p w:rsidR="00435460" w:rsidRPr="004E5CF8" w:rsidRDefault="00435460" w:rsidP="00435460">
      <w:pPr>
        <w:rPr>
          <w:rFonts w:ascii="Arial" w:hAnsi="Arial" w:cs="Arial"/>
        </w:rPr>
      </w:pPr>
      <w:r w:rsidRPr="004E5CF8">
        <w:rPr>
          <w:rFonts w:ascii="Arial" w:hAnsi="Arial" w:cs="Arial"/>
        </w:rPr>
        <w:t>A cesta básica está mais alta que a média da inflação no Brasil inteiro, mas em algumas cidades o custo pesa mais. Somente este ano, de janeiro a outubro, a cesta básica aumentou no país 9,11%. Na cidade de Fortaleza, a alta foi de 16%. Em Florianópolis, a cesta subiu 12,48%. No Rio, 11,37%. Em Belo Horizonte, 10,86%, em Vitória, 10,51%.</w:t>
      </w:r>
    </w:p>
    <w:p w:rsidR="00435460" w:rsidRPr="004E5CF8" w:rsidRDefault="00435460" w:rsidP="00435460">
      <w:pPr>
        <w:rPr>
          <w:rFonts w:ascii="Arial" w:hAnsi="Arial" w:cs="Arial"/>
        </w:rPr>
      </w:pPr>
      <w:r w:rsidRPr="004E5CF8">
        <w:rPr>
          <w:rFonts w:ascii="Arial" w:hAnsi="Arial" w:cs="Arial"/>
        </w:rPr>
        <w:t>A previsão do BC era que a deterioração do quadro externo seria tão forte que diminuiria fortemente o preço das commodities. Isso derrubaria o preço dos alimentos no Brasil e tiraria pressão sobre a inflação. O cálculo é que esse efeito seria grande o suficiente para neutralizar o impacto de uma alta do dólar decorrente exatamente do agravamento da crise.</w:t>
      </w:r>
    </w:p>
    <w:p w:rsidR="00435460" w:rsidRPr="004E5CF8" w:rsidRDefault="00435460" w:rsidP="00435460">
      <w:pPr>
        <w:rPr>
          <w:rFonts w:ascii="Arial" w:hAnsi="Arial" w:cs="Arial"/>
        </w:rPr>
      </w:pPr>
      <w:r w:rsidRPr="004E5CF8">
        <w:rPr>
          <w:rFonts w:ascii="Arial" w:hAnsi="Arial" w:cs="Arial"/>
        </w:rPr>
        <w:t xml:space="preserve">O dólar subiu, sim, a situação ficou pior, de fato, mas o índice </w:t>
      </w:r>
      <w:proofErr w:type="gramStart"/>
      <w:r w:rsidRPr="004E5CF8">
        <w:rPr>
          <w:rFonts w:ascii="Arial" w:hAnsi="Arial" w:cs="Arial"/>
        </w:rPr>
        <w:t>IC-</w:t>
      </w:r>
      <w:proofErr w:type="spellStart"/>
      <w:r w:rsidRPr="004E5CF8">
        <w:rPr>
          <w:rFonts w:ascii="Arial" w:hAnsi="Arial" w:cs="Arial"/>
        </w:rPr>
        <w:t>Br</w:t>
      </w:r>
      <w:proofErr w:type="spellEnd"/>
      <w:proofErr w:type="gramEnd"/>
      <w:r w:rsidRPr="004E5CF8">
        <w:rPr>
          <w:rFonts w:ascii="Arial" w:hAnsi="Arial" w:cs="Arial"/>
        </w:rPr>
        <w:t xml:space="preserve">, do Banco Central, que mede os preços das commodities em reais, subiu 15,49% de outubro a outubro. A maior parte da alta é velha, aconteceu no final de 2010, mas em agosto, setembro e outubro os preços aumentaram 4,11%, mesmo com o agravamento da crise. O que mais pesou foi </w:t>
      </w:r>
      <w:proofErr w:type="gramStart"/>
      <w:r w:rsidRPr="004E5CF8">
        <w:rPr>
          <w:rFonts w:ascii="Arial" w:hAnsi="Arial" w:cs="Arial"/>
        </w:rPr>
        <w:t>a</w:t>
      </w:r>
      <w:proofErr w:type="gramEnd"/>
      <w:r w:rsidRPr="004E5CF8">
        <w:rPr>
          <w:rFonts w:ascii="Arial" w:hAnsi="Arial" w:cs="Arial"/>
        </w:rPr>
        <w:t xml:space="preserve"> desvalorização do real no período. Os produtos agropecuários aumentaram 7,11% nesses três meses. Os produtos ligados à energia (petróleo, carvão e gás natural) tamb</w:t>
      </w:r>
      <w:r>
        <w:rPr>
          <w:rFonts w:ascii="Arial" w:hAnsi="Arial" w:cs="Arial"/>
        </w:rPr>
        <w:t>ém subiram no trimestre, 4,14%.</w:t>
      </w:r>
    </w:p>
    <w:p w:rsidR="00435460" w:rsidRDefault="00435460" w:rsidP="00435460">
      <w:pPr>
        <w:rPr>
          <w:rFonts w:ascii="Arial" w:hAnsi="Arial" w:cs="Arial"/>
        </w:rPr>
      </w:pPr>
      <w:r w:rsidRPr="004E5CF8">
        <w:rPr>
          <w:rFonts w:ascii="Arial" w:hAnsi="Arial" w:cs="Arial"/>
        </w:rPr>
        <w:t>O mercado de trabalho no</w:t>
      </w:r>
      <w:r>
        <w:rPr>
          <w:rFonts w:ascii="Arial" w:hAnsi="Arial" w:cs="Arial"/>
        </w:rPr>
        <w:t>...</w:t>
      </w:r>
      <w:bookmarkStart w:id="0" w:name="_GoBack"/>
      <w:bookmarkEnd w:id="0"/>
    </w:p>
    <w:p w:rsidR="005D443C" w:rsidRDefault="005D443C"/>
    <w:sectPr w:rsidR="005D4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60"/>
    <w:rsid w:val="00435460"/>
    <w:rsid w:val="005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6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6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2011-12-26T15:18:00Z</dcterms:created>
  <dcterms:modified xsi:type="dcterms:W3CDTF">2011-12-26T15:19:00Z</dcterms:modified>
</cp:coreProperties>
</file>